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F337" w14:textId="543EDE7B" w:rsidR="005E793F" w:rsidRDefault="00120673" w:rsidP="00120673">
      <w:pPr>
        <w:widowControl w:val="0"/>
        <w:suppressLineNumbers/>
        <w:suppressAutoHyphens/>
        <w:spacing w:after="0" w:line="240" w:lineRule="auto"/>
        <w:jc w:val="right"/>
        <w:rPr>
          <w:rFonts w:ascii="Liberation Serif;Times New Roma" w:eastAsia="WenQuanYi Zen Hei Sharp;Times N" w:hAnsi="Liberation Serif;Times New Roma" w:cs="Lohit Devanagari;Times New Roma"/>
          <w:b/>
          <w:bCs/>
          <w:kern w:val="2"/>
          <w:sz w:val="24"/>
          <w:szCs w:val="24"/>
          <w:lang w:eastAsia="zh-CN" w:bidi="hi-IN"/>
        </w:rPr>
      </w:pPr>
      <w:r>
        <w:rPr>
          <w:rFonts w:ascii="Liberation Serif;Times New Roma" w:eastAsia="WenQuanYi Zen Hei Sharp;Times N" w:hAnsi="Liberation Serif;Times New Roma" w:cs="Lohit Devanagari;Times New Roma"/>
          <w:b/>
          <w:bCs/>
          <w:kern w:val="2"/>
          <w:sz w:val="24"/>
          <w:szCs w:val="24"/>
          <w:lang w:eastAsia="zh-CN" w:bidi="hi-IN"/>
        </w:rPr>
        <w:t>ПРОЕКТ</w:t>
      </w:r>
    </w:p>
    <w:p w14:paraId="3408E3CB" w14:textId="77777777" w:rsidR="00120673" w:rsidRDefault="00120673" w:rsidP="00120673">
      <w:pPr>
        <w:widowControl w:val="0"/>
        <w:suppressLineNumbers/>
        <w:suppressAutoHyphens/>
        <w:spacing w:after="0" w:line="240" w:lineRule="auto"/>
        <w:jc w:val="right"/>
        <w:rPr>
          <w:rFonts w:ascii="Liberation Serif;Times New Roma" w:eastAsia="WenQuanYi Zen Hei Sharp;Times N" w:hAnsi="Liberation Serif;Times New Roma" w:cs="Lohit Devanagari;Times New Roma"/>
          <w:b/>
          <w:bCs/>
          <w:kern w:val="2"/>
          <w:sz w:val="24"/>
          <w:szCs w:val="24"/>
          <w:lang w:eastAsia="zh-CN" w:bidi="hi-IN"/>
        </w:rPr>
      </w:pPr>
    </w:p>
    <w:p w14:paraId="2E6E0F5F" w14:textId="77777777" w:rsidR="00120673" w:rsidRPr="004A420B" w:rsidRDefault="00120673" w:rsidP="00120673">
      <w:pPr>
        <w:widowControl w:val="0"/>
        <w:suppressLineNumbers/>
        <w:suppressAutoHyphens/>
        <w:spacing w:after="0" w:line="240" w:lineRule="auto"/>
        <w:jc w:val="right"/>
        <w:rPr>
          <w:rFonts w:ascii="Liberation Serif;Times New Roma" w:eastAsia="WenQuanYi Zen Hei Sharp;Times N" w:hAnsi="Liberation Serif;Times New Roma" w:cs="Lohit Devanagari;Times New Roma"/>
          <w:b/>
          <w:bCs/>
          <w:kern w:val="2"/>
          <w:sz w:val="24"/>
          <w:szCs w:val="24"/>
          <w:lang w:eastAsia="zh-CN" w:bidi="hi-IN"/>
        </w:rPr>
      </w:pPr>
    </w:p>
    <w:p w14:paraId="4DC0602B" w14:textId="77777777" w:rsidR="005E793F" w:rsidRPr="004A420B" w:rsidRDefault="005E793F" w:rsidP="005E793F">
      <w:pPr>
        <w:shd w:val="clear" w:color="auto" w:fill="FFFFFF"/>
        <w:suppressAutoHyphens/>
        <w:spacing w:after="0" w:line="323" w:lineRule="atLeast"/>
        <w:jc w:val="both"/>
        <w:rPr>
          <w:rFonts w:ascii="Times New Roman" w:eastAsia="Times New Roman" w:hAnsi="Times New Roman" w:cs="Lohit Devanagari;Times New Roma"/>
          <w:kern w:val="2"/>
          <w:sz w:val="24"/>
          <w:szCs w:val="24"/>
          <w:lang w:eastAsia="zh-CN" w:bidi="hi-IN"/>
        </w:rPr>
      </w:pPr>
    </w:p>
    <w:p w14:paraId="68362DA2" w14:textId="77777777" w:rsidR="005E793F" w:rsidRPr="004A420B" w:rsidRDefault="005E793F" w:rsidP="005E793F">
      <w:pPr>
        <w:suppressAutoHyphens/>
        <w:spacing w:after="0" w:line="240" w:lineRule="auto"/>
        <w:rPr>
          <w:rFonts w:ascii="Times New Roman" w:eastAsia="Times New Roman" w:hAnsi="Times New Roman" w:cs="Lohit Devanagari;Times New Roma"/>
          <w:kern w:val="2"/>
          <w:sz w:val="24"/>
          <w:szCs w:val="24"/>
          <w:lang w:eastAsia="zh-CN" w:bidi="hi-IN"/>
        </w:rPr>
      </w:pPr>
      <w:r w:rsidRPr="004A420B">
        <w:rPr>
          <w:rFonts w:ascii="Times New Roman" w:eastAsia="Times New Roman" w:hAnsi="Times New Roman" w:cs="Lohit Devanagari;Times New Roma"/>
          <w:noProof/>
          <w:kern w:val="2"/>
          <w:sz w:val="24"/>
          <w:szCs w:val="24"/>
          <w:lang w:eastAsia="zh-CN" w:bidi="hi-IN"/>
        </w:rPr>
        <w:drawing>
          <wp:anchor distT="0" distB="0" distL="114300" distR="114300" simplePos="0" relativeHeight="251659264" behindDoc="0" locked="0" layoutInCell="1" allowOverlap="1" wp14:anchorId="5C9625F6" wp14:editId="073B2E6E">
            <wp:simplePos x="0" y="0"/>
            <wp:positionH relativeFrom="column">
              <wp:posOffset>2693670</wp:posOffset>
            </wp:positionH>
            <wp:positionV relativeFrom="paragraph">
              <wp:posOffset>-407670</wp:posOffset>
            </wp:positionV>
            <wp:extent cx="640715" cy="809625"/>
            <wp:effectExtent l="0" t="0" r="0" b="0"/>
            <wp:wrapSquare wrapText="bothSides"/>
            <wp:docPr id="2" name="Рисунок 2" descr="Описание: E:\САЗОНКИНА\БЮДЖЕТ\БЮДЖЕТ 2021\ЕПБС 2021\герб\Герб ц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E:\САЗОНКИНА\БЮДЖЕТ\БЮДЖЕТ 2021\ЕПБС 2021\герб\Герб цв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17BCB" w14:textId="77777777" w:rsidR="005E793F" w:rsidRPr="004A420B" w:rsidRDefault="005E793F" w:rsidP="005E793F">
      <w:pPr>
        <w:pBdr>
          <w:bottom w:val="single" w:sz="18" w:space="1" w:color="auto"/>
        </w:pBdr>
        <w:suppressAutoHyphens/>
        <w:spacing w:after="0" w:line="240" w:lineRule="auto"/>
        <w:rPr>
          <w:rFonts w:ascii="Times New Roman" w:eastAsia="Times New Roman" w:hAnsi="Times New Roman" w:cs="Lohit Devanagari;Times New Roma"/>
          <w:kern w:val="2"/>
          <w:sz w:val="32"/>
          <w:szCs w:val="32"/>
          <w:lang w:bidi="hi-IN"/>
        </w:rPr>
      </w:pPr>
    </w:p>
    <w:p w14:paraId="5F76C95A" w14:textId="77777777" w:rsidR="005E793F" w:rsidRPr="004A420B" w:rsidRDefault="005E793F" w:rsidP="005E793F">
      <w:pPr>
        <w:pBdr>
          <w:bottom w:val="single" w:sz="18" w:space="1" w:color="auto"/>
        </w:pBdr>
        <w:suppressAutoHyphens/>
        <w:spacing w:after="0" w:line="240" w:lineRule="auto"/>
        <w:rPr>
          <w:rFonts w:ascii="Times New Roman" w:eastAsia="Times New Roman" w:hAnsi="Times New Roman" w:cs="Lohit Devanagari;Times New Roma"/>
          <w:kern w:val="2"/>
          <w:sz w:val="32"/>
          <w:szCs w:val="32"/>
          <w:lang w:bidi="hi-IN"/>
        </w:rPr>
      </w:pPr>
    </w:p>
    <w:p w14:paraId="6B175AC9" w14:textId="77777777" w:rsidR="005E793F" w:rsidRPr="004A420B" w:rsidRDefault="005E793F" w:rsidP="005E793F">
      <w:pPr>
        <w:pBdr>
          <w:bottom w:val="single" w:sz="18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Lohit Devanagari;Times New Roma"/>
          <w:kern w:val="2"/>
          <w:sz w:val="32"/>
          <w:szCs w:val="32"/>
          <w:lang w:bidi="hi-IN"/>
        </w:rPr>
      </w:pPr>
      <w:r w:rsidRPr="004A420B">
        <w:rPr>
          <w:rFonts w:ascii="Times New Roman" w:eastAsia="Times New Roman" w:hAnsi="Times New Roman" w:cs="Lohit Devanagari;Times New Roma"/>
          <w:kern w:val="2"/>
          <w:sz w:val="32"/>
          <w:szCs w:val="32"/>
          <w:lang w:bidi="hi-IN"/>
        </w:rPr>
        <w:t>Администрация</w:t>
      </w:r>
    </w:p>
    <w:p w14:paraId="7A02B532" w14:textId="77777777" w:rsidR="005E793F" w:rsidRPr="004A420B" w:rsidRDefault="005E793F" w:rsidP="005E793F">
      <w:pPr>
        <w:pBdr>
          <w:bottom w:val="single" w:sz="18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Lohit Devanagari;Times New Roma"/>
          <w:kern w:val="2"/>
          <w:sz w:val="32"/>
          <w:szCs w:val="32"/>
          <w:lang w:bidi="hi-IN"/>
        </w:rPr>
      </w:pPr>
      <w:r w:rsidRPr="004A420B">
        <w:rPr>
          <w:rFonts w:ascii="Times New Roman" w:eastAsia="Times New Roman" w:hAnsi="Times New Roman" w:cs="Lohit Devanagari;Times New Roma"/>
          <w:kern w:val="2"/>
          <w:sz w:val="32"/>
          <w:szCs w:val="32"/>
          <w:lang w:bidi="hi-IN"/>
        </w:rPr>
        <w:t>Привольненского сельского поселения</w:t>
      </w:r>
    </w:p>
    <w:p w14:paraId="54EE39D2" w14:textId="77777777" w:rsidR="005E793F" w:rsidRPr="004A420B" w:rsidRDefault="005E793F" w:rsidP="005E793F">
      <w:pPr>
        <w:pBdr>
          <w:bottom w:val="single" w:sz="18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Lohit Devanagari;Times New Roma"/>
          <w:kern w:val="2"/>
          <w:sz w:val="32"/>
          <w:szCs w:val="32"/>
          <w:lang w:bidi="hi-IN"/>
        </w:rPr>
      </w:pPr>
      <w:r w:rsidRPr="004A420B">
        <w:rPr>
          <w:rFonts w:ascii="Times New Roman" w:eastAsia="Times New Roman" w:hAnsi="Times New Roman" w:cs="Lohit Devanagari;Times New Roma"/>
          <w:kern w:val="2"/>
          <w:sz w:val="32"/>
          <w:szCs w:val="32"/>
          <w:lang w:bidi="hi-IN"/>
        </w:rPr>
        <w:t>Светлоярского муниципального района Волгоградской области</w:t>
      </w:r>
    </w:p>
    <w:p w14:paraId="522D1477" w14:textId="575F3EF4" w:rsidR="005E793F" w:rsidRPr="004A420B" w:rsidRDefault="005E793F" w:rsidP="005E793F">
      <w:pPr>
        <w:pBdr>
          <w:bottom w:val="single" w:sz="18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</w:pPr>
      <w:r w:rsidRPr="004A420B"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  <w:t xml:space="preserve">404191 п. Привольный улица </w:t>
      </w:r>
      <w:r w:rsidR="00CA0437"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  <w:t>Героев 29 стрелковой дивизии</w:t>
      </w:r>
      <w:r w:rsidRPr="004A420B"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  <w:t xml:space="preserve">, д. </w:t>
      </w:r>
      <w:r w:rsidR="00CA0437"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  <w:t>3</w:t>
      </w:r>
      <w:r w:rsidRPr="004A420B"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  <w:t xml:space="preserve"> тел/факс (84477) 6-63-23</w:t>
      </w:r>
    </w:p>
    <w:p w14:paraId="2676F7A4" w14:textId="77777777" w:rsidR="005E793F" w:rsidRPr="004A420B" w:rsidRDefault="005E793F" w:rsidP="005E793F">
      <w:pPr>
        <w:pBdr>
          <w:bottom w:val="single" w:sz="18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</w:pPr>
      <w:r w:rsidRPr="004A420B"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  <w:t xml:space="preserve">ОКПО 04125106   </w:t>
      </w:r>
      <w:proofErr w:type="gramStart"/>
      <w:r w:rsidRPr="004A420B"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  <w:t>ОГРН  1023405960962</w:t>
      </w:r>
      <w:proofErr w:type="gramEnd"/>
      <w:r w:rsidRPr="004A420B"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  <w:t xml:space="preserve">   ИНН 3426010998   КПП 342601001              </w:t>
      </w:r>
    </w:p>
    <w:p w14:paraId="3D072353" w14:textId="77777777" w:rsidR="005E793F" w:rsidRPr="004A420B" w:rsidRDefault="005E793F" w:rsidP="005E793F">
      <w:pPr>
        <w:suppressAutoHyphens/>
        <w:spacing w:after="0" w:line="240" w:lineRule="auto"/>
        <w:jc w:val="center"/>
        <w:rPr>
          <w:rFonts w:ascii="Times New Roman" w:eastAsia="Times New Roman" w:hAnsi="Times New Roman" w:cs="Lohit Devanagari;Times New Roma"/>
          <w:b/>
          <w:bCs/>
          <w:kern w:val="2"/>
          <w:sz w:val="32"/>
          <w:szCs w:val="32"/>
          <w:lang w:bidi="hi-IN"/>
        </w:rPr>
      </w:pPr>
    </w:p>
    <w:p w14:paraId="55E2EB56" w14:textId="77777777" w:rsidR="005E793F" w:rsidRPr="004A420B" w:rsidRDefault="005E793F" w:rsidP="005E793F">
      <w:pPr>
        <w:suppressAutoHyphens/>
        <w:spacing w:after="0" w:line="240" w:lineRule="auto"/>
        <w:jc w:val="center"/>
        <w:rPr>
          <w:rFonts w:ascii="Times New Roman" w:eastAsia="Times New Roman" w:hAnsi="Times New Roman" w:cs="Lohit Devanagari;Times New Roma"/>
          <w:b/>
          <w:bCs/>
          <w:kern w:val="2"/>
          <w:sz w:val="32"/>
          <w:szCs w:val="32"/>
          <w:lang w:bidi="hi-IN"/>
        </w:rPr>
      </w:pPr>
      <w:r w:rsidRPr="004A420B">
        <w:rPr>
          <w:rFonts w:ascii="Times New Roman" w:eastAsia="Times New Roman" w:hAnsi="Times New Roman" w:cs="Lohit Devanagari;Times New Roma"/>
          <w:b/>
          <w:bCs/>
          <w:kern w:val="2"/>
          <w:sz w:val="32"/>
          <w:szCs w:val="32"/>
          <w:lang w:bidi="hi-IN"/>
        </w:rPr>
        <w:t>ПОСТАНОВЛЕНИЕ</w:t>
      </w:r>
    </w:p>
    <w:p w14:paraId="7D6B2751" w14:textId="77777777" w:rsidR="005E793F" w:rsidRDefault="005E793F" w:rsidP="005E793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F6A43D1" w14:textId="62A857FB" w:rsidR="002B3A9B" w:rsidRDefault="00CA0437" w:rsidP="005E793F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__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_</w:t>
      </w:r>
      <w:r w:rsidR="005E793F" w:rsidRPr="004A420B">
        <w:rPr>
          <w:rFonts w:ascii="Times New Roman" w:eastAsia="Times New Roman" w:hAnsi="Times New Roman" w:cs="Times New Roman"/>
          <w:b/>
          <w:bCs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_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_</w:t>
      </w:r>
      <w:r w:rsidR="005E793F" w:rsidRPr="004A420B">
        <w:rPr>
          <w:rFonts w:ascii="Times New Roman" w:eastAsia="Times New Roman" w:hAnsi="Times New Roman" w:cs="Times New Roman"/>
          <w:b/>
          <w:bCs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_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___</w:t>
      </w:r>
      <w:r w:rsidR="005E793F" w:rsidRPr="004A420B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г. </w:t>
      </w:r>
      <w:r w:rsidR="005E793F" w:rsidRPr="004A420B">
        <w:rPr>
          <w:rFonts w:ascii="Times New Roman" w:eastAsia="Times New Roman" w:hAnsi="Times New Roman" w:cs="Times New Roman"/>
          <w:b/>
          <w:bCs/>
          <w:color w:val="000000"/>
          <w:sz w:val="24"/>
        </w:rPr>
        <w:tab/>
      </w:r>
      <w:r w:rsidR="005E793F" w:rsidRPr="004A420B">
        <w:rPr>
          <w:rFonts w:ascii="Times New Roman" w:eastAsia="Times New Roman" w:hAnsi="Times New Roman" w:cs="Times New Roman"/>
          <w:b/>
          <w:bCs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           </w:t>
      </w:r>
      <w:r w:rsidR="005E793F" w:rsidRPr="004A420B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___</w:t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1F946518" w14:textId="2220BA18" w:rsidR="000D123E" w:rsidRPr="005D1E3A" w:rsidRDefault="002B3A9B" w:rsidP="002B3A9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812482">
        <w:rPr>
          <w:rFonts w:ascii="Times New Roman" w:eastAsia="Times New Roman" w:hAnsi="Times New Roman" w:cs="Times New Roman"/>
          <w:b/>
          <w:bCs/>
          <w:color w:val="000000"/>
          <w:sz w:val="24"/>
        </w:rPr>
        <w:t>Привольненск</w:t>
      </w:r>
      <w:r w:rsidR="00B318F4" w:rsidRPr="00B318F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ого сельского поселения </w:t>
      </w:r>
      <w:r w:rsidR="000D452C">
        <w:rPr>
          <w:rFonts w:ascii="Times New Roman" w:eastAsia="Times New Roman" w:hAnsi="Times New Roman" w:cs="Times New Roman"/>
          <w:b/>
          <w:bCs/>
          <w:color w:val="000000"/>
          <w:sz w:val="24"/>
        </w:rPr>
        <w:t>Светлоярск</w:t>
      </w:r>
      <w:r w:rsidR="00B318F4" w:rsidRPr="00B318F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ого муниципального района Волгоградской области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CA0437">
        <w:rPr>
          <w:rFonts w:ascii="Times New Roman" w:eastAsia="Times New Roman" w:hAnsi="Times New Roman" w:cs="Times New Roman"/>
          <w:b/>
          <w:bCs/>
          <w:color w:val="000000"/>
          <w:sz w:val="24"/>
        </w:rPr>
        <w:t>6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год» </w:t>
      </w:r>
    </w:p>
    <w:p w14:paraId="091A1425" w14:textId="77777777" w:rsidR="005D1E3A" w:rsidRDefault="005D1E3A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31C7927" w14:textId="1826BD85" w:rsidR="000D123E" w:rsidRPr="00827B5F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27B5F">
        <w:rPr>
          <w:rFonts w:ascii="Times New Roman" w:eastAsia="Times New Roman" w:hAnsi="Times New Roman" w:cs="Times New Roman"/>
          <w:sz w:val="24"/>
        </w:rPr>
        <w:t xml:space="preserve">В соответствии со статьей 44 Федерального закона от 31.07.2020 </w:t>
      </w:r>
      <w:r w:rsidRPr="00827B5F">
        <w:rPr>
          <w:rFonts w:ascii="Segoe UI Symbol" w:eastAsia="Segoe UI Symbol" w:hAnsi="Segoe UI Symbol" w:cs="Segoe UI Symbol"/>
          <w:sz w:val="24"/>
        </w:rPr>
        <w:t>№</w:t>
      </w:r>
      <w:r w:rsidRPr="00827B5F">
        <w:rPr>
          <w:rFonts w:ascii="Times New Roman" w:eastAsia="Times New Roman" w:hAnsi="Times New Roman" w:cs="Times New Roman"/>
          <w:sz w:val="24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827B5F">
        <w:rPr>
          <w:rFonts w:ascii="Segoe UI Symbol" w:eastAsia="Segoe UI Symbol" w:hAnsi="Segoe UI Symbol" w:cs="Segoe UI Symbol"/>
          <w:sz w:val="24"/>
        </w:rPr>
        <w:t>№</w:t>
      </w:r>
      <w:r w:rsidRPr="00827B5F">
        <w:rPr>
          <w:rFonts w:ascii="Times New Roman" w:eastAsia="Times New Roman" w:hAnsi="Times New Roman" w:cs="Times New Roman"/>
          <w:sz w:val="24"/>
        </w:rPr>
        <w:t xml:space="preserve"> 131-ФЗ "Об общих принципах организации местного самоуправления в Российской Федерации", </w:t>
      </w:r>
      <w:r w:rsidR="00CE361A" w:rsidRPr="00827B5F">
        <w:rPr>
          <w:rFonts w:ascii="Times New Roman" w:eastAsia="Times New Roman" w:hAnsi="Times New Roman" w:cs="Times New Roman"/>
          <w:sz w:val="24"/>
        </w:rPr>
        <w:t>п</w:t>
      </w:r>
      <w:r w:rsidRPr="00827B5F">
        <w:rPr>
          <w:rFonts w:ascii="Times New Roman" w:eastAsia="Times New Roman" w:hAnsi="Times New Roman" w:cs="Times New Roman"/>
          <w:sz w:val="24"/>
        </w:rPr>
        <w:t xml:space="preserve">остановлением Правительства Российской Федерации от 25.06.2021 </w:t>
      </w:r>
      <w:r w:rsidRPr="00827B5F">
        <w:rPr>
          <w:rFonts w:ascii="Segoe UI Symbol" w:eastAsia="Segoe UI Symbol" w:hAnsi="Segoe UI Symbol" w:cs="Segoe UI Symbol"/>
          <w:sz w:val="24"/>
        </w:rPr>
        <w:t>№</w:t>
      </w:r>
      <w:r w:rsidRPr="00827B5F">
        <w:rPr>
          <w:rFonts w:ascii="Times New Roman" w:eastAsia="Times New Roman" w:hAnsi="Times New Roman" w:cs="Times New Roman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267D18" w:rsidRPr="00F66964">
        <w:rPr>
          <w:rFonts w:ascii="Times New Roman" w:eastAsia="Times New Roman" w:hAnsi="Times New Roman" w:cs="Times New Roman"/>
          <w:sz w:val="24"/>
        </w:rPr>
        <w:t>,</w:t>
      </w:r>
      <w:r w:rsidR="00267D18" w:rsidRPr="00827B5F">
        <w:rPr>
          <w:rFonts w:ascii="Times New Roman" w:eastAsia="Times New Roman" w:hAnsi="Times New Roman" w:cs="Times New Roman"/>
          <w:sz w:val="24"/>
        </w:rPr>
        <w:t xml:space="preserve"> </w:t>
      </w:r>
      <w:r w:rsidRPr="00827B5F">
        <w:rPr>
          <w:rFonts w:ascii="Times New Roman" w:eastAsia="Times New Roman" w:hAnsi="Times New Roman" w:cs="Times New Roman"/>
          <w:sz w:val="24"/>
        </w:rPr>
        <w:t xml:space="preserve">руководствуясь Уставом </w:t>
      </w:r>
      <w:r w:rsidR="00812482">
        <w:rPr>
          <w:rFonts w:ascii="Times New Roman" w:eastAsia="Times New Roman" w:hAnsi="Times New Roman" w:cs="Times New Roman"/>
          <w:sz w:val="24"/>
        </w:rPr>
        <w:t>Привольненск</w:t>
      </w:r>
      <w:r w:rsidR="008231A1" w:rsidRPr="00827B5F">
        <w:rPr>
          <w:rFonts w:ascii="Times New Roman" w:eastAsia="Times New Roman" w:hAnsi="Times New Roman" w:cs="Times New Roman"/>
          <w:sz w:val="24"/>
        </w:rPr>
        <w:t xml:space="preserve">ого сельского поселения </w:t>
      </w:r>
      <w:r w:rsidR="000D452C">
        <w:rPr>
          <w:rFonts w:ascii="Times New Roman" w:eastAsia="Times New Roman" w:hAnsi="Times New Roman" w:cs="Times New Roman"/>
          <w:sz w:val="24"/>
        </w:rPr>
        <w:t>Светлоярск</w:t>
      </w:r>
      <w:r w:rsidR="008231A1" w:rsidRPr="00827B5F">
        <w:rPr>
          <w:rFonts w:ascii="Times New Roman" w:eastAsia="Times New Roman" w:hAnsi="Times New Roman" w:cs="Times New Roman"/>
          <w:sz w:val="24"/>
        </w:rPr>
        <w:t>ого муниципального района Волгоградской области</w:t>
      </w:r>
      <w:r w:rsidRPr="00827B5F">
        <w:rPr>
          <w:rFonts w:ascii="Times New Roman" w:eastAsia="Times New Roman" w:hAnsi="Times New Roman" w:cs="Times New Roman"/>
          <w:sz w:val="24"/>
        </w:rPr>
        <w:t xml:space="preserve">, администрация </w:t>
      </w:r>
      <w:r w:rsidR="00812482">
        <w:rPr>
          <w:rFonts w:ascii="Times New Roman" w:eastAsia="Times New Roman" w:hAnsi="Times New Roman" w:cs="Times New Roman"/>
          <w:sz w:val="24"/>
        </w:rPr>
        <w:t>Привольненск</w:t>
      </w:r>
      <w:r w:rsidR="008231A1" w:rsidRPr="00827B5F">
        <w:rPr>
          <w:rFonts w:ascii="Times New Roman" w:eastAsia="Times New Roman" w:hAnsi="Times New Roman" w:cs="Times New Roman"/>
          <w:sz w:val="24"/>
        </w:rPr>
        <w:t xml:space="preserve">ого сельского поселения </w:t>
      </w:r>
      <w:r w:rsidR="000D452C">
        <w:rPr>
          <w:rFonts w:ascii="Times New Roman" w:eastAsia="Times New Roman" w:hAnsi="Times New Roman" w:cs="Times New Roman"/>
          <w:sz w:val="24"/>
        </w:rPr>
        <w:t>Светлоярск</w:t>
      </w:r>
      <w:r w:rsidR="008231A1" w:rsidRPr="00827B5F">
        <w:rPr>
          <w:rFonts w:ascii="Times New Roman" w:eastAsia="Times New Roman" w:hAnsi="Times New Roman" w:cs="Times New Roman"/>
          <w:sz w:val="24"/>
        </w:rPr>
        <w:t>ого муниципального района Волгоградской области,</w:t>
      </w:r>
    </w:p>
    <w:p w14:paraId="39A9A1D4" w14:textId="77777777" w:rsidR="00191534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6609A58" w14:textId="34832C99" w:rsidR="000D123E" w:rsidRDefault="00766AC6" w:rsidP="00766A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ПОСТАНОВЛЯЕТ:</w:t>
      </w:r>
    </w:p>
    <w:p w14:paraId="030DFF42" w14:textId="77777777" w:rsidR="000D123E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B063FEC" w14:textId="635A62D6" w:rsidR="000D123E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812482">
        <w:rPr>
          <w:rFonts w:ascii="Times New Roman" w:eastAsia="Times New Roman" w:hAnsi="Times New Roman" w:cs="Times New Roman"/>
          <w:color w:val="000000"/>
          <w:sz w:val="24"/>
        </w:rPr>
        <w:t>Привольненск</w:t>
      </w:r>
      <w:r w:rsidR="00931BB3" w:rsidRPr="00931BB3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0D452C">
        <w:rPr>
          <w:rFonts w:ascii="Times New Roman" w:eastAsia="Times New Roman" w:hAnsi="Times New Roman" w:cs="Times New Roman"/>
          <w:color w:val="000000"/>
          <w:sz w:val="24"/>
        </w:rPr>
        <w:t>Светлоярск</w:t>
      </w:r>
      <w:r w:rsidR="00931BB3" w:rsidRPr="00931BB3">
        <w:rPr>
          <w:rFonts w:ascii="Times New Roman" w:eastAsia="Times New Roman" w:hAnsi="Times New Roman" w:cs="Times New Roman"/>
          <w:color w:val="000000"/>
          <w:sz w:val="24"/>
        </w:rPr>
        <w:t xml:space="preserve">ого муниципального района Волгоградской области </w:t>
      </w:r>
      <w:r>
        <w:rPr>
          <w:rFonts w:ascii="Times New Roman" w:eastAsia="Times New Roman" w:hAnsi="Times New Roman" w:cs="Times New Roman"/>
          <w:color w:val="000000"/>
          <w:sz w:val="24"/>
        </w:rPr>
        <w:t>на 202</w:t>
      </w:r>
      <w:r w:rsidR="00CA0437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 согласно Приложению.</w:t>
      </w:r>
    </w:p>
    <w:p w14:paraId="49CF1C60" w14:textId="07B9DB78" w:rsidR="000D123E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Контроль за исполнением настоящего постановления 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оставляю за собой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9805EFA" w14:textId="01148661" w:rsidR="000D123E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Настоящее постановление вступает в силу с 1 января 202</w:t>
      </w:r>
      <w:r w:rsidR="00CA0437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</w:p>
    <w:p w14:paraId="6CBD19C5" w14:textId="77777777" w:rsidR="000D123E" w:rsidRDefault="000D123E" w:rsidP="005E793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9847208" w14:textId="77777777" w:rsidR="00AD24BF" w:rsidRDefault="00AD24BF" w:rsidP="005E793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5CB7CB2" w14:textId="77777777" w:rsidR="00AD24BF" w:rsidRDefault="00AD24BF" w:rsidP="005E793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B895743" w14:textId="49178163" w:rsidR="005E793F" w:rsidRDefault="005E793F" w:rsidP="005E793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Привольненского</w:t>
      </w:r>
    </w:p>
    <w:p w14:paraId="5EE59FB2" w14:textId="77777777" w:rsidR="005E793F" w:rsidRDefault="005E793F" w:rsidP="005E793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сельского поселения       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</w:rPr>
        <w:softHyphen/>
        <w:t>______________                           О.В. Малиновская</w:t>
      </w:r>
    </w:p>
    <w:p w14:paraId="73AEB2AA" w14:textId="77777777" w:rsidR="00D74589" w:rsidRDefault="00927500" w:rsidP="005E793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5E793F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</w:p>
    <w:p w14:paraId="45ECB1C6" w14:textId="77777777" w:rsidR="00D74589" w:rsidRDefault="00D74589" w:rsidP="005E793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AFD0942" w14:textId="77777777" w:rsidR="00CA0437" w:rsidRDefault="00D74589" w:rsidP="005E793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                                                                                     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121793F" w14:textId="77777777" w:rsidR="00CA0437" w:rsidRDefault="00CA0437" w:rsidP="005E793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3AD3EF1" w14:textId="046F319B" w:rsidR="000D123E" w:rsidRDefault="00CA0437" w:rsidP="005E793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Приложение</w:t>
      </w:r>
    </w:p>
    <w:p w14:paraId="38548DCD" w14:textId="77777777" w:rsidR="000D123E" w:rsidRDefault="00927500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14:paraId="4ABE519D" w14:textId="409CBB56" w:rsidR="000D123E" w:rsidRDefault="00812482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Привольненск</w:t>
      </w:r>
      <w:r w:rsidR="00F476D6">
        <w:rPr>
          <w:rFonts w:ascii="Times New Roman" w:eastAsia="Times New Roman" w:hAnsi="Times New Roman" w:cs="Times New Roman"/>
          <w:color w:val="000000"/>
          <w:sz w:val="24"/>
        </w:rPr>
        <w:t>ого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 w:rsidRPr="00F66964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CA0437">
        <w:rPr>
          <w:rFonts w:ascii="Times New Roman" w:eastAsia="Times New Roman" w:hAnsi="Times New Roman" w:cs="Times New Roman"/>
          <w:color w:val="000000"/>
          <w:sz w:val="24"/>
        </w:rPr>
        <w:t>__</w:t>
      </w:r>
      <w:proofErr w:type="gramStart"/>
      <w:r w:rsidR="00CA0437">
        <w:rPr>
          <w:rFonts w:ascii="Times New Roman" w:eastAsia="Times New Roman" w:hAnsi="Times New Roman" w:cs="Times New Roman"/>
          <w:color w:val="000000"/>
          <w:sz w:val="24"/>
        </w:rPr>
        <w:t>_</w:t>
      </w:r>
      <w:r w:rsidR="00D24625" w:rsidRPr="00F66964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CA0437">
        <w:rPr>
          <w:rFonts w:ascii="Times New Roman" w:eastAsia="Times New Roman" w:hAnsi="Times New Roman" w:cs="Times New Roman"/>
          <w:color w:val="000000"/>
          <w:sz w:val="24"/>
        </w:rPr>
        <w:t>_</w:t>
      </w:r>
      <w:proofErr w:type="gramEnd"/>
      <w:r w:rsidR="00CA0437">
        <w:rPr>
          <w:rFonts w:ascii="Times New Roman" w:eastAsia="Times New Roman" w:hAnsi="Times New Roman" w:cs="Times New Roman"/>
          <w:color w:val="000000"/>
          <w:sz w:val="24"/>
        </w:rPr>
        <w:t>_</w:t>
      </w:r>
      <w:proofErr w:type="gramStart"/>
      <w:r w:rsidR="00CA0437">
        <w:rPr>
          <w:rFonts w:ascii="Times New Roman" w:eastAsia="Times New Roman" w:hAnsi="Times New Roman" w:cs="Times New Roman"/>
          <w:color w:val="000000"/>
          <w:sz w:val="24"/>
        </w:rPr>
        <w:t>_</w:t>
      </w:r>
      <w:r w:rsidR="00D24625" w:rsidRPr="00F66964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CA0437">
        <w:rPr>
          <w:rFonts w:ascii="Times New Roman" w:eastAsia="Times New Roman" w:hAnsi="Times New Roman" w:cs="Times New Roman"/>
          <w:color w:val="000000"/>
          <w:sz w:val="24"/>
        </w:rPr>
        <w:t>_</w:t>
      </w:r>
      <w:proofErr w:type="gramEnd"/>
      <w:r w:rsidR="00CA0437">
        <w:rPr>
          <w:rFonts w:ascii="Times New Roman" w:eastAsia="Times New Roman" w:hAnsi="Times New Roman" w:cs="Times New Roman"/>
          <w:color w:val="000000"/>
          <w:sz w:val="24"/>
        </w:rPr>
        <w:t xml:space="preserve">__ </w:t>
      </w:r>
      <w:r w:rsidR="00D24625" w:rsidRPr="00F66964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 w:rsidRPr="00F66964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 w:rsidRPr="00F66964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 w:rsidRPr="00CA0437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="00D24625" w:rsidRPr="00CA043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A0437" w:rsidRPr="00CA0437">
        <w:rPr>
          <w:rFonts w:ascii="Times New Roman" w:eastAsia="Times New Roman" w:hAnsi="Times New Roman" w:cs="Times New Roman"/>
          <w:color w:val="000000"/>
          <w:sz w:val="24"/>
        </w:rPr>
        <w:t>__</w:t>
      </w:r>
    </w:p>
    <w:p w14:paraId="024DD5F8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F164E13" w14:textId="769D5788" w:rsidR="000D123E" w:rsidRDefault="00927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жилищного контроля</w:t>
      </w:r>
    </w:p>
    <w:p w14:paraId="3E5B2DE1" w14:textId="3D643E7B" w:rsidR="000D123E" w:rsidRDefault="00927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территории </w:t>
      </w:r>
      <w:r w:rsidR="00812482">
        <w:rPr>
          <w:rFonts w:ascii="Times New Roman" w:eastAsia="Times New Roman" w:hAnsi="Times New Roman" w:cs="Times New Roman"/>
          <w:b/>
          <w:color w:val="000000"/>
          <w:sz w:val="24"/>
        </w:rPr>
        <w:t>Привольненск</w:t>
      </w:r>
      <w:r w:rsidR="00D570F7" w:rsidRPr="00D570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ого сельского поселения </w:t>
      </w:r>
      <w:r w:rsidR="000D452C">
        <w:rPr>
          <w:rFonts w:ascii="Times New Roman" w:eastAsia="Times New Roman" w:hAnsi="Times New Roman" w:cs="Times New Roman"/>
          <w:b/>
          <w:color w:val="000000"/>
          <w:sz w:val="24"/>
        </w:rPr>
        <w:t>Светлоярск</w:t>
      </w:r>
      <w:r w:rsidR="00D570F7" w:rsidRPr="00D570F7">
        <w:rPr>
          <w:rFonts w:ascii="Times New Roman" w:eastAsia="Times New Roman" w:hAnsi="Times New Roman" w:cs="Times New Roman"/>
          <w:b/>
          <w:color w:val="000000"/>
          <w:sz w:val="24"/>
        </w:rPr>
        <w:t>ого муниципального района Волгоградской области</w:t>
      </w:r>
      <w:r w:rsidR="00D570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CA0437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14:paraId="4AFBD6B9" w14:textId="77777777"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A6943B6" w14:textId="5E8166D7" w:rsidR="000D123E" w:rsidRDefault="00927500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8268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8268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14:paraId="7357620C" w14:textId="184D37A0" w:rsidR="000D123E" w:rsidRDefault="00927500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14:paraId="7A596AC1" w14:textId="77777777" w:rsidR="000D123E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3616CD1" w14:textId="08733679" w:rsidR="000D123E" w:rsidRDefault="00927500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контрольными(надзорными)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вреда(ущерба)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муниципального жилищного контроля на территории</w:t>
      </w:r>
      <w:r w:rsidR="0085504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12482">
        <w:rPr>
          <w:rFonts w:ascii="Times New Roman" w:eastAsia="Times New Roman" w:hAnsi="Times New Roman" w:cs="Times New Roman"/>
          <w:color w:val="000000"/>
          <w:sz w:val="24"/>
        </w:rPr>
        <w:t>Привольненск</w:t>
      </w:r>
      <w:r w:rsidR="00855047" w:rsidRPr="00855047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0D452C">
        <w:rPr>
          <w:rFonts w:ascii="Times New Roman" w:eastAsia="Times New Roman" w:hAnsi="Times New Roman" w:cs="Times New Roman"/>
          <w:color w:val="000000"/>
          <w:sz w:val="24"/>
        </w:rPr>
        <w:t>Светлоярск</w:t>
      </w:r>
      <w:r w:rsidR="00855047" w:rsidRPr="00855047">
        <w:rPr>
          <w:rFonts w:ascii="Times New Roman" w:eastAsia="Times New Roman" w:hAnsi="Times New Roman" w:cs="Times New Roman"/>
          <w:color w:val="000000"/>
          <w:sz w:val="24"/>
        </w:rPr>
        <w:t>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BA04AED" w14:textId="0ADFC463" w:rsidR="00592F86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с 01.01.202</w:t>
      </w:r>
      <w:r w:rsidR="00CA0437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31.09.202</w:t>
      </w:r>
      <w:r w:rsidR="00CA043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812482">
        <w:rPr>
          <w:rFonts w:ascii="Times New Roman" w:eastAsia="Times New Roman" w:hAnsi="Times New Roman" w:cs="Times New Roman"/>
          <w:color w:val="000000"/>
          <w:sz w:val="24"/>
        </w:rPr>
        <w:t>Привольненск</w:t>
      </w:r>
      <w:r w:rsidR="00EB2A1D" w:rsidRPr="00EB2A1D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0D452C">
        <w:rPr>
          <w:rFonts w:ascii="Times New Roman" w:eastAsia="Times New Roman" w:hAnsi="Times New Roman" w:cs="Times New Roman"/>
          <w:color w:val="000000"/>
          <w:sz w:val="24"/>
        </w:rPr>
        <w:t>Светлоярск</w:t>
      </w:r>
      <w:r w:rsidR="00EB2A1D" w:rsidRPr="00EB2A1D">
        <w:rPr>
          <w:rFonts w:ascii="Times New Roman" w:eastAsia="Times New Roman" w:hAnsi="Times New Roman" w:cs="Times New Roman"/>
          <w:color w:val="000000"/>
          <w:sz w:val="24"/>
        </w:rPr>
        <w:t xml:space="preserve">ого муниципального района Волгоградской области </w:t>
      </w:r>
      <w:r w:rsidR="00213E66">
        <w:rPr>
          <w:rFonts w:ascii="Times New Roman" w:eastAsia="Times New Roman" w:hAnsi="Times New Roman" w:cs="Times New Roman"/>
          <w:color w:val="000000"/>
          <w:sz w:val="24"/>
        </w:rPr>
        <w:t xml:space="preserve">(далее – администрация)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проверки в рамках муниципального жилищного контроля 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2C33ED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948E3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Об особенностях организации и осуществления государственного контроля (надзора), муниципального контроля</w:t>
      </w:r>
      <w:r w:rsidR="001948E3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A3B43A9" w14:textId="2714B950" w:rsidR="0082686F" w:rsidRPr="0082686F" w:rsidRDefault="0082686F" w:rsidP="00F669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202</w:t>
      </w:r>
      <w:r w:rsidR="00CA043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года</w:t>
      </w:r>
      <w:r w:rsidR="006D438D"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администрацией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2023 год, утвержденной постановлением администрации </w:t>
      </w:r>
      <w:r w:rsidRPr="00F66964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7F5151">
        <w:rPr>
          <w:rFonts w:ascii="Times New Roman" w:eastAsia="Times New Roman" w:hAnsi="Times New Roman" w:cs="Times New Roman"/>
          <w:color w:val="000000"/>
          <w:sz w:val="24"/>
        </w:rPr>
        <w:t>02</w:t>
      </w:r>
      <w:r w:rsidRPr="00F66964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7F5151">
        <w:rPr>
          <w:rFonts w:ascii="Times New Roman" w:eastAsia="Times New Roman" w:hAnsi="Times New Roman" w:cs="Times New Roman"/>
          <w:color w:val="000000"/>
          <w:sz w:val="24"/>
        </w:rPr>
        <w:t>11</w:t>
      </w:r>
      <w:r w:rsidRPr="00F66964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F66964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CA0437">
        <w:rPr>
          <w:rFonts w:ascii="Times New Roman" w:eastAsia="Times New Roman" w:hAnsi="Times New Roman" w:cs="Times New Roman"/>
          <w:color w:val="000000"/>
          <w:sz w:val="24"/>
        </w:rPr>
        <w:t>4</w:t>
      </w:r>
      <w:r w:rsidRPr="00F66964">
        <w:rPr>
          <w:rFonts w:ascii="Times New Roman" w:eastAsia="Times New Roman" w:hAnsi="Times New Roman" w:cs="Times New Roman"/>
          <w:color w:val="000000"/>
          <w:sz w:val="24"/>
        </w:rPr>
        <w:t xml:space="preserve"> года №</w:t>
      </w:r>
      <w:r w:rsidR="009E5969">
        <w:rPr>
          <w:rFonts w:ascii="Times New Roman" w:eastAsia="Times New Roman" w:hAnsi="Times New Roman" w:cs="Times New Roman"/>
          <w:color w:val="000000"/>
          <w:sz w:val="24"/>
        </w:rPr>
        <w:t>63</w:t>
      </w:r>
      <w:r w:rsidR="00F66964">
        <w:rPr>
          <w:rFonts w:ascii="Times New Roman" w:eastAsia="Times New Roman" w:hAnsi="Times New Roman" w:cs="Times New Roman"/>
          <w:color w:val="000000"/>
          <w:sz w:val="24"/>
        </w:rPr>
        <w:t xml:space="preserve"> не проводились.</w:t>
      </w:r>
    </w:p>
    <w:p w14:paraId="7E9F98D6" w14:textId="07859785" w:rsidR="0082686F" w:rsidRPr="0082686F" w:rsidRDefault="0082686F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686F">
        <w:rPr>
          <w:rFonts w:ascii="Times New Roman" w:eastAsia="Times New Roman" w:hAnsi="Times New Roman" w:cs="Times New Roman"/>
          <w:color w:val="000000"/>
          <w:sz w:val="24"/>
        </w:rPr>
        <w:t>Исходя из приведенных данных о профилактической работе администрации в 202</w:t>
      </w:r>
      <w:r w:rsidR="009E5969">
        <w:rPr>
          <w:rFonts w:ascii="Times New Roman" w:eastAsia="Times New Roman" w:hAnsi="Times New Roman" w:cs="Times New Roman"/>
          <w:color w:val="000000"/>
          <w:sz w:val="24"/>
        </w:rPr>
        <w:t>4</w:t>
      </w:r>
      <w:r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году, в 202</w:t>
      </w:r>
      <w:r w:rsidR="009E5969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году следует уделить особое внимание таким профилактическим направлениям, как: </w:t>
      </w:r>
      <w:r w:rsidR="00F66964">
        <w:rPr>
          <w:rFonts w:ascii="Times New Roman" w:eastAsia="Times New Roman" w:hAnsi="Times New Roman" w:cs="Times New Roman"/>
          <w:color w:val="000000"/>
          <w:sz w:val="24"/>
        </w:rPr>
        <w:t>информирование, консультирование</w:t>
      </w:r>
      <w:r w:rsidRPr="0082686F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4BB73FE7" w14:textId="00F3B648" w:rsidR="0082686F" w:rsidRPr="0082686F" w:rsidRDefault="0082686F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686F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9E5969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года при проведении указанных профилактических мероприятий, нарушения не выявлялись, предостережения не объявлялись</w:t>
      </w:r>
      <w:r w:rsidR="00F6696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01B6BFD" w14:textId="77777777" w:rsidR="0082686F" w:rsidRPr="0082686F" w:rsidRDefault="0082686F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686F">
        <w:rPr>
          <w:rFonts w:ascii="Times New Roman" w:eastAsia="Times New Roman" w:hAnsi="Times New Roman" w:cs="Times New Roman"/>
          <w:color w:val="000000"/>
          <w:sz w:val="24"/>
        </w:rPr>
        <w:t>Основной проблемой, которая должна быть решена при реализации данной программы, является низкий уровень правовой грамотности контролируемых лиц, который приводит к возникновению причинения вреда (ущерба) или угрозе причинения вреда (ущерба) охраняемым законом ценностям.</w:t>
      </w:r>
    </w:p>
    <w:p w14:paraId="470AB867" w14:textId="77777777" w:rsidR="0082686F" w:rsidRPr="0082686F" w:rsidRDefault="0082686F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686F">
        <w:rPr>
          <w:rFonts w:ascii="Times New Roman" w:eastAsia="Times New Roman" w:hAnsi="Times New Roman" w:cs="Times New Roman"/>
          <w:color w:val="000000"/>
          <w:sz w:val="24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14:paraId="01512C0D" w14:textId="77777777" w:rsidR="0082686F" w:rsidRPr="0082686F" w:rsidRDefault="0082686F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</w:t>
      </w:r>
      <w:r w:rsidRPr="0082686F">
        <w:rPr>
          <w:rFonts w:ascii="Times New Roman" w:eastAsia="Times New Roman" w:hAnsi="Times New Roman" w:cs="Times New Roman"/>
          <w:color w:val="000000"/>
          <w:sz w:val="24"/>
        </w:rPr>
        <w:lastRenderedPageBreak/>
        <w:t>показателей индекса административного давления, снизив контрольную и административную нагрузку на бизнес.</w:t>
      </w:r>
    </w:p>
    <w:p w14:paraId="5DA7D5E7" w14:textId="6677A193" w:rsidR="009D0D81" w:rsidRDefault="0082686F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686F">
        <w:rPr>
          <w:rFonts w:ascii="Times New Roman" w:eastAsia="Times New Roman" w:hAnsi="Times New Roman" w:cs="Times New Roman"/>
          <w:color w:val="000000"/>
          <w:sz w:val="24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</w:t>
      </w:r>
      <w:r w:rsidR="009E5969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год, приведенный в разделе 3 настоящей Программы.</w:t>
      </w:r>
    </w:p>
    <w:p w14:paraId="0F8A2690" w14:textId="6655AD69" w:rsidR="006D438D" w:rsidRDefault="0023333A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66964">
        <w:rPr>
          <w:rFonts w:ascii="Times New Roman" w:eastAsia="Times New Roman" w:hAnsi="Times New Roman" w:cs="Times New Roman"/>
          <w:color w:val="000000"/>
          <w:sz w:val="24"/>
        </w:rPr>
        <w:t xml:space="preserve">Руководствуясь ст.52 Федерального закона от 31 июля 2021г. №248-ФЗ «О государственном контроле (надзоре) и муниципальном контроле в Российской Федерации»,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 сайте администрации. Указанное приложение заполняется по мере принятия администрацией решений о проведении профилактических </w:t>
      </w:r>
      <w:r w:rsidR="009E5969" w:rsidRPr="00F66964">
        <w:rPr>
          <w:rFonts w:ascii="Times New Roman" w:eastAsia="Times New Roman" w:hAnsi="Times New Roman" w:cs="Times New Roman"/>
          <w:color w:val="000000"/>
          <w:sz w:val="24"/>
        </w:rPr>
        <w:t>визитов контролируемых</w:t>
      </w:r>
      <w:r w:rsidRPr="00F66964">
        <w:rPr>
          <w:rFonts w:ascii="Times New Roman" w:eastAsia="Times New Roman" w:hAnsi="Times New Roman" w:cs="Times New Roman"/>
          <w:color w:val="000000"/>
          <w:sz w:val="24"/>
        </w:rPr>
        <w:t xml:space="preserve"> лиц, от которых поступили соответствующие заявления.</w:t>
      </w:r>
      <w:r w:rsidRPr="0023333A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14:paraId="3F443637" w14:textId="77777777" w:rsidR="0023333A" w:rsidRDefault="0023333A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74C6BC7" w14:textId="27E0CF83"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14:paraId="76859DF1" w14:textId="77777777"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14:paraId="7DBAA40C" w14:textId="197AF410"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14:paraId="7C3456F8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7EF9569C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14:paraId="3E7C9BE1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14:paraId="4D74CE4B" w14:textId="1CF1D0EC" w:rsid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14:paraId="03E8AFAD" w14:textId="77777777"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51AFEFF" w14:textId="27D9C62C"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14:paraId="47B537C1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14:paraId="0E28CD05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12FF2B48" w14:textId="4E4DED7E" w:rsidR="000D123E" w:rsidRPr="00886BF1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14:paraId="622C23E6" w14:textId="32FF5856"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8ECA50D" w14:textId="09EB0C0E"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4B26C177" w14:textId="77777777"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45234E3D" w14:textId="77777777" w:rsidR="000D123E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2949"/>
        <w:gridCol w:w="2405"/>
        <w:gridCol w:w="3574"/>
      </w:tblGrid>
      <w:tr w:rsidR="006B7FFC" w:rsidRPr="006B7FFC" w14:paraId="3C5D16AC" w14:textId="77777777" w:rsidTr="006B7FF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7DB5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D4A3E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5FCEC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4BFC1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6B7FFC" w:rsidRPr="00F66964" w14:paraId="24C7F9B7" w14:textId="77777777" w:rsidTr="006B7FF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B89DE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EB22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14:paraId="585D36E4" w14:textId="77777777" w:rsidR="006B7FFC" w:rsidRPr="006B7FFC" w:rsidRDefault="006B7FFC" w:rsidP="006B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6B7FFC">
              <w:rPr>
                <w:rFonts w:ascii="Segoe UI Symbol" w:eastAsia="Segoe UI Symbol" w:hAnsi="Segoe UI Symbol" w:cs="Segoe UI Symbol"/>
                <w:sz w:val="20"/>
              </w:rPr>
              <w:t>№</w:t>
            </w:r>
            <w:r w:rsidRPr="006B7FFC">
              <w:rPr>
                <w:rFonts w:ascii="Times New Roman" w:eastAsia="Times New Roman" w:hAnsi="Times New Roman" w:cs="Times New Roman"/>
                <w:sz w:val="20"/>
              </w:rPr>
              <w:t xml:space="preserve">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14:paraId="0B0FA3DF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 рамках настоящего профилактического мероприятия, контрольный орган осуществляет:</w:t>
            </w:r>
          </w:p>
          <w:p w14:paraId="720E49B9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инфографики, содержащей основные требования </w:t>
            </w:r>
          </w:p>
          <w:p w14:paraId="292F2263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14:paraId="10470443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14:paraId="0F7B3F15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14:paraId="062FB9B6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2D9E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6F093" w14:textId="054326A8" w:rsidR="006B7FFC" w:rsidRPr="00F66964" w:rsidRDefault="00F66964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Сары Наталья Юрьевна, ведущий специалист администрации Привольненского сельского поселения Светлоярского муниципального района Волгоградской области</w:t>
            </w:r>
          </w:p>
        </w:tc>
      </w:tr>
      <w:tr w:rsidR="006B7FFC" w:rsidRPr="006B7FFC" w14:paraId="05B80988" w14:textId="77777777" w:rsidTr="006B7FFC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3B1CE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FF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FAE3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14:paraId="6E0DA224" w14:textId="77777777" w:rsidR="006B7FFC" w:rsidRPr="006B7FFC" w:rsidRDefault="006B7FFC" w:rsidP="006B7FFC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1C122A74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362DA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 мере поступления </w:t>
            </w:r>
            <w:proofErr w:type="gramStart"/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сведений  о</w:t>
            </w:r>
            <w:proofErr w:type="gramEnd"/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446AC" w14:textId="3D5E3DA3" w:rsidR="006B7FFC" w:rsidRPr="006B7FFC" w:rsidRDefault="00F66964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Малиновская Ольга Валерьевна, глава Привольненского сельского поселения Светлоярского муниципального района Волгоградской области</w:t>
            </w:r>
          </w:p>
        </w:tc>
      </w:tr>
      <w:tr w:rsidR="006B7FFC" w:rsidRPr="006B7FFC" w14:paraId="74A74B37" w14:textId="77777777" w:rsidTr="006B7FFC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2601B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FF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9A09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</w:p>
          <w:p w14:paraId="1D4B4E40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Обобщение правоприменительной </w:t>
            </w: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6D059C3A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5901" w14:textId="33CFF200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не позднее 30 января </w:t>
            </w:r>
            <w:r w:rsidR="009E596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2026 </w:t>
            </w: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года.</w:t>
            </w:r>
          </w:p>
          <w:p w14:paraId="4B2E3F9F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484BA2CF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B632" w14:textId="1F2B77E2" w:rsidR="006B7FFC" w:rsidRPr="006B7FFC" w:rsidRDefault="00F66964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Малиновская Ольга Валерьевна, глава Привольненского сельского поселения Светлоярского муниципального района Волгоградской области</w:t>
            </w:r>
          </w:p>
        </w:tc>
      </w:tr>
      <w:tr w:rsidR="006B7FFC" w:rsidRPr="006B7FFC" w14:paraId="466B90CF" w14:textId="77777777" w:rsidTr="006B7FF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D7FE1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FFC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C12B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14:paraId="65424DB5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3BAC16B5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по таким вопросам как:</w:t>
            </w:r>
          </w:p>
          <w:p w14:paraId="53F0048E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14:paraId="39EB9D85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14:paraId="1F06BA4E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14:paraId="602604A5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D24A1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038A" w14:textId="27E92BE1" w:rsidR="006B7FFC" w:rsidRPr="006B7FFC" w:rsidRDefault="00F66964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Сары Наталья Юрьевна, ведущий специалист администрации Привольненского сельского поселения Светлоярского муниципального района Волгоградской области</w:t>
            </w:r>
          </w:p>
        </w:tc>
      </w:tr>
      <w:tr w:rsidR="006B7FFC" w:rsidRPr="006B7FFC" w14:paraId="589D23E1" w14:textId="77777777" w:rsidTr="006B7FF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F4093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FF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D060B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14:paraId="0E5DA825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14:paraId="3A08463E" w14:textId="77777777" w:rsidR="006B7FFC" w:rsidRPr="006B7FFC" w:rsidRDefault="006B7FFC" w:rsidP="006B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14:paraId="6A7B9834" w14:textId="77777777" w:rsidR="006B7FFC" w:rsidRPr="006B7FFC" w:rsidRDefault="006B7FFC" w:rsidP="006B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96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4B7CA" w14:textId="77777777" w:rsidR="00F66964" w:rsidRDefault="00F66964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EA98F5" w14:textId="7AE8E739" w:rsidR="00F66964" w:rsidRDefault="009E5969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  <w:r w:rsidR="00F669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F669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года</w:t>
            </w:r>
          </w:p>
          <w:p w14:paraId="74D72F3B" w14:textId="5082FB2C" w:rsidR="006B7FFC" w:rsidRPr="00F66964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69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-по </w:t>
            </w:r>
            <w:proofErr w:type="gramStart"/>
            <w:r w:rsidRPr="00F66964">
              <w:rPr>
                <w:rFonts w:ascii="Times New Roman" w:eastAsia="Times New Roman" w:hAnsi="Times New Roman" w:cs="Times New Roman"/>
                <w:sz w:val="18"/>
                <w:szCs w:val="18"/>
              </w:rPr>
              <w:t>решениям  администрации</w:t>
            </w:r>
            <w:proofErr w:type="gramEnd"/>
            <w:r w:rsidRPr="00F669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принимаемым по результатам рассмотрения заявлений контролируемых лиц о проведении в отношении них профилактического визита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BD667" w14:textId="73A1F83B" w:rsidR="006B7FFC" w:rsidRPr="006B7FFC" w:rsidRDefault="00F66964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Сары Наталья Юрьевна, ведущий специалист администрации Привольненского сельского поселения Светлоярского муниципального района Волгоградской области</w:t>
            </w:r>
          </w:p>
        </w:tc>
      </w:tr>
    </w:tbl>
    <w:p w14:paraId="767D4A08" w14:textId="77777777" w:rsidR="000D123E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F8E06DF" w14:textId="77777777" w:rsidR="000D123E" w:rsidRDefault="00927500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14:paraId="46AA7D7E" w14:textId="5028C1D2"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14:paraId="159D1481" w14:textId="77777777"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6286883" w14:textId="77777777"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6484"/>
        <w:gridCol w:w="2258"/>
      </w:tblGrid>
      <w:tr w:rsidR="000D123E" w14:paraId="388DF578" w14:textId="77777777" w:rsidTr="00DD676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E46A7" w14:textId="77777777" w:rsidR="000D123E" w:rsidRDefault="00927500">
            <w:pPr>
              <w:spacing w:before="101" w:after="0" w:line="244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293F12" w14:textId="46A07BDE" w:rsidR="000D123E" w:rsidRDefault="00927500">
            <w:pPr>
              <w:spacing w:before="101"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657D8B" w14:textId="77777777" w:rsidR="000D123E" w:rsidRDefault="00927500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 w14:paraId="6FF095E8" w14:textId="77777777" w:rsidTr="00DD676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0ECA5F" w14:textId="77777777" w:rsidR="000D123E" w:rsidRDefault="00927500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7666D2" w14:textId="39466B01" w:rsidR="000D123E" w:rsidRDefault="00927500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14:paraId="645344A1" w14:textId="3A356BE7" w:rsidR="000D123E" w:rsidRDefault="00927500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контроле(надзоре)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7CB31F" w14:textId="77777777" w:rsidR="000D123E" w:rsidRDefault="00927500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 w14:paraId="6EC10C8B" w14:textId="77777777" w:rsidTr="00DD676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B3E9D3" w14:textId="77777777" w:rsidR="000D123E" w:rsidRDefault="00927500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1E504B" w14:textId="77777777" w:rsidR="000D123E" w:rsidRDefault="00927500">
            <w:pPr>
              <w:spacing w:before="101" w:after="0" w:line="242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FB24D6" w14:textId="02578902" w:rsidR="000D123E" w:rsidRDefault="00927500">
            <w:pPr>
              <w:spacing w:before="101"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</w:p>
        </w:tc>
      </w:tr>
      <w:tr w:rsidR="000D123E" w14:paraId="50D4BEF0" w14:textId="77777777" w:rsidTr="00DD676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0B126D" w14:textId="77777777" w:rsidR="000D123E" w:rsidRDefault="00927500">
            <w:pPr>
              <w:spacing w:before="106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CEC905" w14:textId="3DF8829E" w:rsidR="000D123E" w:rsidRDefault="00927500">
            <w:pPr>
              <w:spacing w:before="106"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02B489" w14:textId="09AA9034" w:rsidR="000D123E" w:rsidRDefault="00927500">
            <w:pPr>
              <w:spacing w:before="106"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контрольным(надзорным)органом</w:t>
            </w:r>
          </w:p>
        </w:tc>
      </w:tr>
    </w:tbl>
    <w:p w14:paraId="0CADEEDB" w14:textId="77777777"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7B11018" w14:textId="77777777" w:rsidR="000D123E" w:rsidRDefault="009275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2EC3159A" w14:textId="77777777" w:rsidR="000D123E" w:rsidRDefault="009275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0D208738" w14:textId="77777777"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33F033C1" w14:textId="77777777" w:rsidR="000D123E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0FE46BC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F84DDB4" w14:textId="77777777" w:rsidR="00BA0302" w:rsidRDefault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73A39B8" w14:textId="77777777" w:rsidR="00BA0302" w:rsidRDefault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FC4F240" w14:textId="77777777" w:rsidR="00BA0302" w:rsidRDefault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B6225DB" w14:textId="77777777" w:rsidR="005E211D" w:rsidRDefault="005E211D">
      <w:pPr>
        <w:rPr>
          <w:rFonts w:ascii="Times New Roman" w:eastAsia="Times New Roman" w:hAnsi="Times New Roman" w:cs="Times New Roman"/>
          <w:b/>
          <w:color w:val="000000"/>
          <w:sz w:val="24"/>
          <w:highlight w:val="gree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highlight w:val="green"/>
        </w:rPr>
        <w:br w:type="page"/>
      </w:r>
    </w:p>
    <w:p w14:paraId="156568A9" w14:textId="07748014" w:rsidR="00BA0302" w:rsidRPr="005E211D" w:rsidRDefault="00BA0302" w:rsidP="00BA030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E211D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ПРИЛОЖЕНИЕ </w:t>
      </w:r>
    </w:p>
    <w:p w14:paraId="6E6CD5FC" w14:textId="77777777" w:rsidR="00BA0302" w:rsidRPr="005E211D" w:rsidRDefault="00BA0302" w:rsidP="00BA030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E211D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14:paraId="605A2665" w14:textId="77777777" w:rsidR="00BA0302" w:rsidRPr="005E211D" w:rsidRDefault="00BA0302" w:rsidP="00BA0302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D7FE8A6" w14:textId="77777777" w:rsidR="00BA0302" w:rsidRPr="005E211D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F0D2117" w14:textId="77777777" w:rsidR="00BA0302" w:rsidRPr="005E211D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2124"/>
        <w:gridCol w:w="2213"/>
        <w:gridCol w:w="1864"/>
        <w:gridCol w:w="2978"/>
      </w:tblGrid>
      <w:tr w:rsidR="00BA0302" w:rsidRPr="005E211D" w14:paraId="5174BEAF" w14:textId="77777777" w:rsidTr="005C18BA">
        <w:trPr>
          <w:trHeight w:val="1244"/>
        </w:trPr>
        <w:tc>
          <w:tcPr>
            <w:tcW w:w="426" w:type="dxa"/>
          </w:tcPr>
          <w:p w14:paraId="25BB41B4" w14:textId="77777777" w:rsidR="00BA0302" w:rsidRPr="005E211D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E21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14:paraId="1BD461C5" w14:textId="77777777" w:rsidR="00BA0302" w:rsidRPr="005E211D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E21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5E211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5E21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14:paraId="3DB79211" w14:textId="77777777" w:rsidR="00BA0302" w:rsidRPr="005E211D" w:rsidRDefault="00BA0302" w:rsidP="00BA030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E21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14:paraId="466B654D" w14:textId="77777777" w:rsidR="00BA0302" w:rsidRPr="005E211D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14:paraId="211A0D9F" w14:textId="77777777" w:rsidR="00BA0302" w:rsidRPr="005E211D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E21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14:paraId="7F894DA5" w14:textId="77777777" w:rsidR="00BA0302" w:rsidRPr="005E211D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E21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A0302" w:rsidRPr="005E211D" w14:paraId="52E1718D" w14:textId="77777777" w:rsidTr="005C18BA">
        <w:trPr>
          <w:trHeight w:val="419"/>
        </w:trPr>
        <w:tc>
          <w:tcPr>
            <w:tcW w:w="426" w:type="dxa"/>
          </w:tcPr>
          <w:p w14:paraId="06C41047" w14:textId="77777777" w:rsidR="00BA0302" w:rsidRPr="005E211D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14:paraId="2AB118F6" w14:textId="77777777" w:rsidR="00BA0302" w:rsidRPr="005E211D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67174C70" w14:textId="77777777" w:rsidR="00BA0302" w:rsidRPr="005E211D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3DC51F0" w14:textId="77777777" w:rsidR="00BA0302" w:rsidRPr="005E211D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36401138" w14:textId="77777777" w:rsidR="00BA0302" w:rsidRPr="005E211D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5E211D" w14:paraId="6C3B7CF6" w14:textId="77777777" w:rsidTr="005C18BA">
        <w:trPr>
          <w:trHeight w:val="529"/>
        </w:trPr>
        <w:tc>
          <w:tcPr>
            <w:tcW w:w="426" w:type="dxa"/>
          </w:tcPr>
          <w:p w14:paraId="2DCE10C1" w14:textId="77777777" w:rsidR="00BA0302" w:rsidRPr="005E211D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14:paraId="5565907B" w14:textId="77777777" w:rsidR="00BA0302" w:rsidRPr="005E211D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3464ACC1" w14:textId="77777777" w:rsidR="00BA0302" w:rsidRPr="005E211D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5443B70" w14:textId="77777777" w:rsidR="00BA0302" w:rsidRPr="005E211D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75A8EA90" w14:textId="77777777" w:rsidR="00BA0302" w:rsidRPr="005E211D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5E211D" w14:paraId="2F4D63A6" w14:textId="77777777" w:rsidTr="005C18BA">
        <w:trPr>
          <w:trHeight w:val="529"/>
        </w:trPr>
        <w:tc>
          <w:tcPr>
            <w:tcW w:w="426" w:type="dxa"/>
          </w:tcPr>
          <w:p w14:paraId="4135E3E0" w14:textId="77777777" w:rsidR="00BA0302" w:rsidRPr="005E211D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14:paraId="4B73E19D" w14:textId="77777777" w:rsidR="00BA0302" w:rsidRPr="005E211D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37A32AB0" w14:textId="77777777" w:rsidR="00BA0302" w:rsidRPr="005E211D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9A975F0" w14:textId="77777777" w:rsidR="00BA0302" w:rsidRPr="005E211D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451E1D0D" w14:textId="77777777" w:rsidR="00BA0302" w:rsidRPr="005E211D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BA0302" w14:paraId="36F28059" w14:textId="77777777" w:rsidTr="005C18BA">
        <w:trPr>
          <w:trHeight w:val="529"/>
        </w:trPr>
        <w:tc>
          <w:tcPr>
            <w:tcW w:w="426" w:type="dxa"/>
          </w:tcPr>
          <w:p w14:paraId="46F4AEAC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14:paraId="33DDCE62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5F434D88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340242A2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55C30DBA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0329FC4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A03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127D5FC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048C55D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2C8700E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E7FA46C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1D3AD30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0A7B7C6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D41D649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1C68092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5EC690C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986C786" w14:textId="77777777" w:rsidR="000D123E" w:rsidRDefault="009275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72A15B89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AD24B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WenQuanYi Zen Hei Sharp;Times N">
    <w:altName w:val="Times New Roman"/>
    <w:panose1 w:val="00000000000000000000"/>
    <w:charset w:val="00"/>
    <w:family w:val="roman"/>
    <w:notTrueType/>
    <w:pitch w:val="default"/>
  </w:font>
  <w:font w:name="Lohit Devanagari;Times New Roma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23E"/>
    <w:rsid w:val="000153F0"/>
    <w:rsid w:val="000213ED"/>
    <w:rsid w:val="00022818"/>
    <w:rsid w:val="00054435"/>
    <w:rsid w:val="00067ADC"/>
    <w:rsid w:val="000A5FFB"/>
    <w:rsid w:val="000D123E"/>
    <w:rsid w:val="000D452C"/>
    <w:rsid w:val="0010019C"/>
    <w:rsid w:val="00120673"/>
    <w:rsid w:val="00184AFB"/>
    <w:rsid w:val="00191534"/>
    <w:rsid w:val="001948E3"/>
    <w:rsid w:val="001B0C35"/>
    <w:rsid w:val="001B6B47"/>
    <w:rsid w:val="001D67C6"/>
    <w:rsid w:val="001E0313"/>
    <w:rsid w:val="001F58E6"/>
    <w:rsid w:val="00213E66"/>
    <w:rsid w:val="0023333A"/>
    <w:rsid w:val="00267D18"/>
    <w:rsid w:val="002A2BBC"/>
    <w:rsid w:val="002B3A9B"/>
    <w:rsid w:val="002C33ED"/>
    <w:rsid w:val="003243D1"/>
    <w:rsid w:val="003251DC"/>
    <w:rsid w:val="003424FA"/>
    <w:rsid w:val="0036460F"/>
    <w:rsid w:val="0037077E"/>
    <w:rsid w:val="00377C8B"/>
    <w:rsid w:val="003E40A4"/>
    <w:rsid w:val="00474D46"/>
    <w:rsid w:val="004908EE"/>
    <w:rsid w:val="004A7CFA"/>
    <w:rsid w:val="004B2E2C"/>
    <w:rsid w:val="0051273A"/>
    <w:rsid w:val="005207EE"/>
    <w:rsid w:val="0056633F"/>
    <w:rsid w:val="00587586"/>
    <w:rsid w:val="00592F86"/>
    <w:rsid w:val="005C2D7B"/>
    <w:rsid w:val="005D1E3A"/>
    <w:rsid w:val="005E211D"/>
    <w:rsid w:val="005E793F"/>
    <w:rsid w:val="006474AC"/>
    <w:rsid w:val="006617E9"/>
    <w:rsid w:val="00686946"/>
    <w:rsid w:val="006B7FFC"/>
    <w:rsid w:val="006C632B"/>
    <w:rsid w:val="006D438D"/>
    <w:rsid w:val="007328C6"/>
    <w:rsid w:val="00747876"/>
    <w:rsid w:val="00765F6D"/>
    <w:rsid w:val="00766AC6"/>
    <w:rsid w:val="007723FC"/>
    <w:rsid w:val="00792778"/>
    <w:rsid w:val="007A7AC3"/>
    <w:rsid w:val="007D14A8"/>
    <w:rsid w:val="007F5151"/>
    <w:rsid w:val="00810009"/>
    <w:rsid w:val="00812482"/>
    <w:rsid w:val="008231A1"/>
    <w:rsid w:val="0082686F"/>
    <w:rsid w:val="00827B5F"/>
    <w:rsid w:val="0085320C"/>
    <w:rsid w:val="00855047"/>
    <w:rsid w:val="00886BF1"/>
    <w:rsid w:val="008962FE"/>
    <w:rsid w:val="008A6ADC"/>
    <w:rsid w:val="008D4CE2"/>
    <w:rsid w:val="009256BA"/>
    <w:rsid w:val="00927500"/>
    <w:rsid w:val="009279F5"/>
    <w:rsid w:val="00931BB3"/>
    <w:rsid w:val="009D0D81"/>
    <w:rsid w:val="009D59F5"/>
    <w:rsid w:val="009D61B7"/>
    <w:rsid w:val="009E5969"/>
    <w:rsid w:val="00A32FBD"/>
    <w:rsid w:val="00A35D10"/>
    <w:rsid w:val="00A70F2A"/>
    <w:rsid w:val="00AC6BEA"/>
    <w:rsid w:val="00AD24BF"/>
    <w:rsid w:val="00B318F4"/>
    <w:rsid w:val="00B65243"/>
    <w:rsid w:val="00BA0302"/>
    <w:rsid w:val="00BA40A1"/>
    <w:rsid w:val="00BA61C9"/>
    <w:rsid w:val="00BC6A99"/>
    <w:rsid w:val="00C22AAD"/>
    <w:rsid w:val="00CA0437"/>
    <w:rsid w:val="00CC7968"/>
    <w:rsid w:val="00CE361A"/>
    <w:rsid w:val="00D23AA0"/>
    <w:rsid w:val="00D24625"/>
    <w:rsid w:val="00D50370"/>
    <w:rsid w:val="00D570F7"/>
    <w:rsid w:val="00D74589"/>
    <w:rsid w:val="00D97D62"/>
    <w:rsid w:val="00DC3872"/>
    <w:rsid w:val="00DC6798"/>
    <w:rsid w:val="00DD6767"/>
    <w:rsid w:val="00E2047A"/>
    <w:rsid w:val="00E308F1"/>
    <w:rsid w:val="00E53DF8"/>
    <w:rsid w:val="00E6341E"/>
    <w:rsid w:val="00EB2A1D"/>
    <w:rsid w:val="00EF2FE7"/>
    <w:rsid w:val="00F120B1"/>
    <w:rsid w:val="00F201D8"/>
    <w:rsid w:val="00F476D6"/>
    <w:rsid w:val="00F66964"/>
    <w:rsid w:val="00FC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B1A8"/>
  <w15:docId w15:val="{C2BA0633-A234-47D9-AACA-41F62120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2030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Привольненского сельского поселения администрация</cp:lastModifiedBy>
  <cp:revision>118</cp:revision>
  <cp:lastPrinted>2023-12-12T12:32:00Z</cp:lastPrinted>
  <dcterms:created xsi:type="dcterms:W3CDTF">2022-09-13T06:46:00Z</dcterms:created>
  <dcterms:modified xsi:type="dcterms:W3CDTF">2025-10-02T08:38:00Z</dcterms:modified>
</cp:coreProperties>
</file>